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rPr>
          <w:rFonts w:ascii="標楷體" w:hAnsi="標楷體" w:eastAsia="標楷體" w:cs="Times New Roman"/>
          <w:b/>
          <w:b/>
          <w:sz w:val="28"/>
          <w:szCs w:val="28"/>
        </w:rPr>
      </w:pPr>
      <w:r>
        <w:rPr>
          <w:rFonts w:eastAsia="標楷體" w:cs="Times New Roman" w:ascii="標楷體" w:hAnsi="標楷體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新細明體" w:hAnsi="新細明體" w:cs="Times New Roman"/>
          <w:b/>
          <w:sz w:val="28"/>
          <w:szCs w:val="28"/>
        </w:rPr>
        <w:t>新光人壽與</w:t>
      </w:r>
      <w:r>
        <w:rPr>
          <w:rFonts w:ascii="新細明體" w:hAnsi="新細明體" w:cs="微軟正黑體"/>
          <w:b/>
          <w:sz w:val="28"/>
          <w:szCs w:val="28"/>
        </w:rPr>
        <w:t>社團法人雲林縣社會福利工作人員協會及雲林縣政府</w:t>
      </w:r>
    </w:p>
    <w:p>
      <w:pPr>
        <w:pStyle w:val="Normal"/>
        <w:jc w:val="center"/>
        <w:rPr>
          <w:rFonts w:ascii="新細明體" w:hAnsi="新細明體" w:cs="Times New Roman"/>
          <w:b/>
          <w:b/>
          <w:sz w:val="28"/>
          <w:szCs w:val="28"/>
        </w:rPr>
      </w:pPr>
      <w:r>
        <w:rPr>
          <w:rFonts w:ascii="新細明體" w:hAnsi="新細明體" w:cs="Times New Roman"/>
          <w:b/>
          <w:sz w:val="28"/>
          <w:szCs w:val="28"/>
        </w:rPr>
        <w:t>合作團微，核保後相關作業程序如下：</w:t>
      </w:r>
    </w:p>
    <w:tbl>
      <w:tblPr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694"/>
        <w:gridCol w:w="6315"/>
      </w:tblGrid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項目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作業項目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說明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eastAsia="新細明體" w:cs="Times New Roman" w:ascii="新細明體" w:hAnsi="新細明體"/>
                <w:bCs/>
                <w:kern w:val="2"/>
                <w:sz w:val="26"/>
                <w:szCs w:val="26"/>
                <w:lang w:val="en-US" w:eastAsia="zh-TW" w:bidi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查詢身故原因／協助轉知意外身故身障者之家屬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新細明體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新光</w:t>
            </w:r>
            <w:r>
              <w:rPr>
                <w:rFonts w:ascii="新細明體" w:hAnsi="新細明體" w:cs="Segoe UI Semibold"/>
                <w:bCs/>
                <w:kern w:val="2"/>
                <w:sz w:val="26"/>
                <w:szCs w:val="26"/>
                <w:lang w:val="en-US" w:eastAsia="zh-TW" w:bidi="ar-SA"/>
              </w:rPr>
              <w:t>以</w:t>
            </w:r>
            <w:r>
              <w:rPr>
                <w:rFonts w:eastAsia="新細明體" w:cs="Segoe UI Semibold" w:ascii="新細明體" w:hAnsi="新細明體"/>
                <w:bCs/>
                <w:kern w:val="2"/>
                <w:sz w:val="26"/>
                <w:szCs w:val="26"/>
                <w:lang w:val="en-US" w:eastAsia="zh-TW" w:bidi="ar-SA"/>
              </w:rPr>
              <w:t>email</w:t>
            </w:r>
            <w:r>
              <w:rPr>
                <w:rFonts w:ascii="新細明體" w:hAnsi="新細明體" w:cs="Segoe UI Semibold"/>
                <w:bCs/>
                <w:kern w:val="2"/>
                <w:sz w:val="26"/>
                <w:szCs w:val="26"/>
                <w:lang w:val="en-US" w:eastAsia="zh-TW" w:bidi="ar-SA"/>
              </w:rPr>
              <w:t>方式將身故檔案給縣府承辦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由縣府承辦查詢身故原因後，回復新光人壽窗口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發現身故原因可能因意外身故，由縣府致電所轄公所，請公所了解原因後，協助轉知家屬相關權益與申請理賠程序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受理理賠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由所轄公所將理賠相關文件，函轉社團法人雲林縣社會福利工作人員協會，並副知家屬與本府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協助將理賠文件函送新光人壽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新細明體" w:hAnsi="新細明體" w:cs="微軟正黑體"/>
                <w:bCs/>
                <w:sz w:val="26"/>
                <w:szCs w:val="26"/>
              </w:rPr>
            </w:pPr>
            <w:r>
              <w:rPr>
                <w:rFonts w:ascii="新細明體" w:hAnsi="新細明體" w:cs="微軟正黑體"/>
                <w:bCs/>
                <w:kern w:val="2"/>
                <w:sz w:val="26"/>
                <w:szCs w:val="26"/>
                <w:lang w:val="en-US" w:eastAsia="zh-TW" w:bidi="ar-SA"/>
              </w:rPr>
              <w:t>社團法人雲林縣社會福利工作人員協會於理賠書要保單位處用印後，將相關文件函送新光人壽（中區理賠課），並副知所轄家屬、公所與縣府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填報理賠名冊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新細明體" w:hAnsi="新細明體" w:cs="Times New Roman"/>
                <w:bCs/>
                <w:sz w:val="26"/>
                <w:szCs w:val="26"/>
              </w:rPr>
            </w:pPr>
            <w:r>
              <w:rPr>
                <w:rFonts w:ascii="新細明體" w:hAnsi="新細明體" w:cs="Times New Roman"/>
                <w:bCs/>
                <w:kern w:val="2"/>
                <w:sz w:val="26"/>
                <w:szCs w:val="26"/>
                <w:lang w:val="en-US" w:eastAsia="zh-TW" w:bidi="ar-SA"/>
              </w:rPr>
              <w:t>定期彙送理賠統計表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新細明體" w:hAnsi="新細明體" w:cs="微軟正黑體"/>
                <w:bCs/>
                <w:sz w:val="26"/>
                <w:szCs w:val="26"/>
              </w:rPr>
            </w:pPr>
            <w:r>
              <w:rPr>
                <w:rFonts w:ascii="新細明體" w:hAnsi="新細明體" w:cs="微軟正黑體"/>
                <w:bCs/>
                <w:kern w:val="2"/>
                <w:sz w:val="26"/>
                <w:szCs w:val="26"/>
                <w:lang w:val="en-US" w:eastAsia="zh-TW" w:bidi="ar-SA"/>
              </w:rPr>
              <w:t>社團法人雲林縣社會福利工作人員協會按季填報理賠結果統計表，並寄送縣府承辦</w:t>
            </w:r>
          </w:p>
        </w:tc>
      </w:tr>
    </w:tbl>
    <w:p>
      <w:pPr>
        <w:pStyle w:val="Normal"/>
        <w:jc w:val="center"/>
        <w:rPr>
          <w:rFonts w:ascii="標楷體" w:hAnsi="標楷體" w:eastAsia="標楷體" w:cs="Times New Roman"/>
          <w:b/>
          <w:b/>
          <w:sz w:val="28"/>
          <w:szCs w:val="28"/>
        </w:rPr>
      </w:pPr>
      <w:r>
        <w:rPr>
          <w:rFonts w:eastAsia="標楷體" w:cs="Times New Roman" w:ascii="標楷體" w:hAnsi="標楷體"/>
          <w:b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napToGrid w:val="false"/>
        <w:spacing w:lineRule="exact" w:line="340" w:before="0" w:after="0"/>
        <w:contextualSpacing/>
        <w:rPr>
          <w:rFonts w:ascii="新細明體" w:hAnsi="新細明體" w:cs="Segoe UI Semibold"/>
          <w:sz w:val="25"/>
          <w:szCs w:val="25"/>
        </w:rPr>
      </w:pPr>
      <w:r>
        <w:rPr>
          <w:rFonts w:ascii="新細明體" w:hAnsi="新細明體" w:cs="Segoe UI Semibold"/>
          <w:sz w:val="25"/>
          <w:szCs w:val="25"/>
        </w:rPr>
        <w:t xml:space="preserve">社團法人雲林縣社會福利工作人員協會 劉金鎮先生 </w:t>
      </w:r>
    </w:p>
    <w:p>
      <w:pPr>
        <w:pStyle w:val="Normal"/>
        <w:ind w:left="0" w:right="0" w:firstLine="708"/>
        <w:rPr>
          <w:rFonts w:ascii="新細明體" w:hAnsi="新細明體" w:cs="Helvetica"/>
          <w:shd w:fill="7DBEF1" w:val="clear"/>
        </w:rPr>
      </w:pPr>
      <w:r>
        <w:rPr>
          <w:rFonts w:ascii="新細明體" w:hAnsi="新細明體" w:cs="Helvetica"/>
          <w:shd w:fill="7DBEF1" w:val="clear"/>
        </w:rPr>
        <w:t>單位：社團法人雲林縣社會福利工作人員協會</w:t>
      </w:r>
    </w:p>
    <w:p>
      <w:pPr>
        <w:pStyle w:val="Normal"/>
        <w:ind w:left="0" w:right="0" w:firstLine="708"/>
        <w:rPr>
          <w:rFonts w:ascii="新細明體" w:hAnsi="新細明體" w:cs="Helvetica"/>
          <w:shd w:fill="7DBEF1" w:val="clear"/>
        </w:rPr>
      </w:pPr>
      <w:r>
        <w:rPr>
          <w:rFonts w:ascii="新細明體" w:hAnsi="新細明體" w:cs="Helvetica"/>
          <w:shd w:fill="7DBEF1" w:val="clear"/>
        </w:rPr>
        <w:t>電話：</w:t>
      </w:r>
      <w:r>
        <w:rPr>
          <w:rFonts w:cs="Helvetica" w:ascii="新細明體" w:hAnsi="新細明體"/>
          <w:shd w:fill="7DBEF1" w:val="clear"/>
        </w:rPr>
        <w:t>05-5978208</w:t>
      </w:r>
    </w:p>
    <w:p>
      <w:pPr>
        <w:pStyle w:val="Normal"/>
        <w:ind w:left="708" w:right="0" w:firstLine="1"/>
        <w:rPr>
          <w:rFonts w:ascii="新細明體" w:hAnsi="新細明體" w:cs="Helvetica"/>
          <w:shd w:fill="7DBEF1" w:val="clear"/>
        </w:rPr>
      </w:pPr>
      <w:r>
        <w:rPr>
          <w:rFonts w:ascii="新細明體" w:hAnsi="新細明體" w:cs="Helvetica"/>
          <w:shd w:fill="7DBEF1" w:val="clear"/>
        </w:rPr>
        <w:t>傳真：</w:t>
      </w:r>
      <w:r>
        <w:rPr>
          <w:rFonts w:cs="Helvetica" w:ascii="新細明體" w:hAnsi="新細明體"/>
          <w:shd w:fill="7DBEF1" w:val="clear"/>
        </w:rPr>
        <w:t>05-5978208</w:t>
        <w:br/>
      </w:r>
      <w:r>
        <w:rPr>
          <w:rFonts w:ascii="新細明體" w:hAnsi="新細明體" w:cs="Helvetica"/>
          <w:shd w:fill="7DBEF1" w:val="clear"/>
        </w:rPr>
        <w:t>地址：</w:t>
      </w:r>
      <w:r>
        <w:rPr>
          <w:rFonts w:cs="Helvetica" w:ascii="新細明體" w:hAnsi="新細明體"/>
          <w:shd w:fill="7DBEF1" w:val="clear"/>
        </w:rPr>
        <w:t>630048</w:t>
      </w:r>
      <w:r>
        <w:rPr>
          <w:rFonts w:ascii="新細明體" w:hAnsi="新細明體" w:cs="Helvetica"/>
          <w:shd w:fill="7DBEF1" w:val="clear"/>
        </w:rPr>
        <w:t>雲林縣斗南鎮靖光路</w:t>
      </w:r>
      <w:r>
        <w:rPr>
          <w:rFonts w:cs="Helvetica" w:ascii="新細明體" w:hAnsi="新細明體"/>
          <w:shd w:fill="7DBEF1" w:val="clear"/>
        </w:rPr>
        <w:t>5</w:t>
      </w:r>
      <w:r>
        <w:rPr>
          <w:rFonts w:ascii="新細明體" w:hAnsi="新細明體" w:cs="Helvetica"/>
          <w:shd w:fill="7DBEF1" w:val="clear"/>
        </w:rPr>
        <w:t>號</w:t>
      </w:r>
    </w:p>
    <w:p>
      <w:pPr>
        <w:pStyle w:val="ListParagraph"/>
        <w:numPr>
          <w:ilvl w:val="0"/>
          <w:numId w:val="4"/>
        </w:numPr>
        <w:snapToGrid w:val="false"/>
        <w:spacing w:lineRule="exact" w:line="340" w:before="0" w:after="0"/>
        <w:contextualSpacing/>
        <w:rPr>
          <w:rFonts w:ascii="新細明體" w:hAnsi="新細明體" w:cs="Segoe UI Semibold"/>
          <w:sz w:val="25"/>
          <w:szCs w:val="25"/>
        </w:rPr>
      </w:pPr>
      <w:r>
        <w:rPr>
          <w:rFonts w:ascii="新細明體" w:hAnsi="新細明體" w:cs="Segoe UI Semibold"/>
          <w:sz w:val="25"/>
          <w:szCs w:val="25"/>
        </w:rPr>
        <w:t>新光人壽中區理賠課</w:t>
      </w:r>
      <w:r>
        <w:rPr>
          <w:rFonts w:cs="Segoe UI Semibold" w:ascii="新細明體" w:hAnsi="新細明體"/>
          <w:sz w:val="25"/>
          <w:szCs w:val="25"/>
        </w:rPr>
        <w:t>04-22540200</w:t>
      </w:r>
      <w:r>
        <w:rPr>
          <w:rFonts w:ascii="新細明體" w:hAnsi="新細明體" w:cs="Segoe UI Semibold"/>
          <w:sz w:val="25"/>
          <w:szCs w:val="25"/>
        </w:rPr>
        <w:t>分機</w:t>
      </w:r>
      <w:r>
        <w:rPr>
          <w:rFonts w:cs="Segoe UI Semibold" w:ascii="新細明體" w:hAnsi="新細明體"/>
          <w:sz w:val="25"/>
          <w:szCs w:val="25"/>
        </w:rPr>
        <w:t xml:space="preserve">2 </w:t>
      </w:r>
    </w:p>
    <w:p>
      <w:pPr>
        <w:pStyle w:val="ListParagraph"/>
        <w:snapToGrid w:val="false"/>
        <w:spacing w:lineRule="exact" w:line="340" w:before="0" w:after="0"/>
        <w:contextualSpacing/>
        <w:rPr>
          <w:rFonts w:ascii="新細明體" w:hAnsi="新細明體" w:cs="Segoe UI Semibold"/>
          <w:sz w:val="28"/>
          <w:szCs w:val="28"/>
        </w:rPr>
      </w:pPr>
      <w:r>
        <w:rPr>
          <w:rFonts w:cs="Segoe UI Semibold" w:ascii="新細明體" w:hAnsi="新細明體"/>
          <w:sz w:val="25"/>
          <w:szCs w:val="25"/>
        </w:rPr>
        <w:t>407</w:t>
      </w:r>
      <w:r>
        <w:rPr>
          <w:rFonts w:ascii="新細明體" w:hAnsi="新細明體" w:cs="Segoe UI Semibold"/>
          <w:sz w:val="25"/>
          <w:szCs w:val="25"/>
        </w:rPr>
        <w:t>台中市西屯區文心路二段</w:t>
      </w:r>
      <w:r>
        <w:rPr>
          <w:rFonts w:cs="Segoe UI Semibold" w:ascii="新細明體" w:hAnsi="新細明體"/>
          <w:sz w:val="25"/>
          <w:szCs w:val="25"/>
        </w:rPr>
        <w:t>645</w:t>
      </w:r>
      <w:r>
        <w:rPr>
          <w:rFonts w:ascii="新細明體" w:hAnsi="新細明體" w:cs="Segoe UI Semibold"/>
          <w:sz w:val="25"/>
          <w:szCs w:val="25"/>
        </w:rPr>
        <w:t>號</w:t>
      </w:r>
    </w:p>
    <w:sectPr>
      <w:headerReference w:type="default" r:id="rId2"/>
      <w:type w:val="nextPage"/>
      <w:pgSz w:w="11906" w:h="16838"/>
      <w:pgMar w:left="794" w:right="964" w:gutter="0" w:header="851" w:top="908" w:footer="0" w:bottom="56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新細明體">
    <w:charset w:val="8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pacing w:before="0" w:after="160"/>
      <w:jc w:val="center"/>
      <w:rPr>
        <w:rFonts w:ascii="標楷體" w:hAnsi="標楷體" w:eastAsia="標楷體"/>
        <w:b/>
        <w:b/>
        <w:bCs/>
        <w:sz w:val="28"/>
        <w:szCs w:val="28"/>
      </w:rPr>
    </w:pPr>
    <w:r>
      <w:rPr>
        <w:rFonts w:eastAsia="標楷體" w:ascii="標楷體" w:hAnsi="標楷體"/>
        <w:b/>
        <w:bCs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20" w:hanging="72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4"/>
        <w:szCs w:val="24"/>
        <w:lang w:val="en-US" w:eastAsia="zh-TW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 w:before="0" w:after="160"/>
      <w:jc w:val="left"/>
    </w:pPr>
    <w:rPr>
      <w:rFonts w:ascii="Calibri" w:hAnsi="Calibri" w:eastAsia="新細明體"/>
      <w:color w:val="auto"/>
      <w:kern w:val="2"/>
      <w:sz w:val="24"/>
      <w:szCs w:val="24"/>
      <w:lang w:val="en-US" w:eastAsia="zh-TW" w:bidi="ar-S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numPr>
        <w:ilvl w:val="0"/>
        <w:numId w:val="0"/>
      </w:numPr>
      <w:spacing w:before="480" w:after="80"/>
      <w:outlineLvl w:val="0"/>
    </w:pPr>
    <w:rPr>
      <w:rFonts w:ascii="Calibri Light" w:hAnsi="Calibri Light" w:eastAsia="新細明體" w:cs="Tahoma"/>
      <w:color w:val="2F5496"/>
      <w:sz w:val="48"/>
      <w:szCs w:val="48"/>
    </w:rPr>
  </w:style>
  <w:style w:type="paragraph" w:styleId="2">
    <w:name w:val="Heading 2"/>
    <w:basedOn w:val="Normal"/>
    <w:next w:val="Normal"/>
    <w:link w:val="21"/>
    <w:qFormat/>
    <w:pPr>
      <w:keepNext w:val="true"/>
      <w:keepLines/>
      <w:numPr>
        <w:ilvl w:val="0"/>
        <w:numId w:val="0"/>
      </w:numPr>
      <w:spacing w:before="160" w:after="80"/>
      <w:outlineLvl w:val="1"/>
    </w:pPr>
    <w:rPr>
      <w:rFonts w:ascii="Calibri Light" w:hAnsi="Calibri Light" w:eastAsia="新細明體" w:cs="Tahoma"/>
      <w:color w:val="2F5496"/>
      <w:sz w:val="40"/>
      <w:szCs w:val="40"/>
    </w:rPr>
  </w:style>
  <w:style w:type="paragraph" w:styleId="3">
    <w:name w:val="Heading 3"/>
    <w:basedOn w:val="Normal"/>
    <w:next w:val="Normal"/>
    <w:link w:val="31"/>
    <w:qFormat/>
    <w:pPr>
      <w:keepNext w:val="true"/>
      <w:keepLines/>
      <w:numPr>
        <w:ilvl w:val="0"/>
        <w:numId w:val="0"/>
      </w:numPr>
      <w:spacing w:before="160" w:after="40"/>
      <w:outlineLvl w:val="2"/>
    </w:pPr>
    <w:rPr>
      <w:rFonts w:eastAsia="新細明體" w:cs="Tahoma"/>
      <w:color w:val="2F5496"/>
      <w:sz w:val="32"/>
      <w:szCs w:val="32"/>
    </w:rPr>
  </w:style>
  <w:style w:type="paragraph" w:styleId="4">
    <w:name w:val="Heading 4"/>
    <w:basedOn w:val="Normal"/>
    <w:next w:val="Normal"/>
    <w:link w:val="41"/>
    <w:qFormat/>
    <w:pPr>
      <w:keepNext w:val="true"/>
      <w:keepLines/>
      <w:numPr>
        <w:ilvl w:val="0"/>
        <w:numId w:val="0"/>
      </w:numPr>
      <w:spacing w:before="160" w:after="40"/>
      <w:outlineLvl w:val="3"/>
    </w:pPr>
    <w:rPr>
      <w:rFonts w:eastAsia="新細明體" w:cs="Tahoma"/>
      <w:color w:val="2F5496"/>
      <w:sz w:val="28"/>
      <w:szCs w:val="28"/>
    </w:rPr>
  </w:style>
  <w:style w:type="paragraph" w:styleId="5">
    <w:name w:val="Heading 5"/>
    <w:basedOn w:val="Normal"/>
    <w:next w:val="Normal"/>
    <w:link w:val="51"/>
    <w:qFormat/>
    <w:pPr>
      <w:keepNext w:val="true"/>
      <w:keepLines/>
      <w:numPr>
        <w:ilvl w:val="0"/>
        <w:numId w:val="0"/>
      </w:numPr>
      <w:spacing w:before="80" w:after="40"/>
      <w:outlineLvl w:val="4"/>
    </w:pPr>
    <w:rPr>
      <w:rFonts w:eastAsia="新細明體" w:cs="Tahoma"/>
      <w:color w:val="2F5496"/>
    </w:rPr>
  </w:style>
  <w:style w:type="paragraph" w:styleId="6">
    <w:name w:val="Heading 6"/>
    <w:basedOn w:val="Normal"/>
    <w:next w:val="Normal"/>
    <w:link w:val="61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eastAsia="新細明體" w:cs="Tahoma"/>
      <w:color w:val="595959"/>
    </w:rPr>
  </w:style>
  <w:style w:type="paragraph" w:styleId="7">
    <w:name w:val="Heading 7"/>
    <w:basedOn w:val="Normal"/>
    <w:next w:val="Normal"/>
    <w:link w:val="71"/>
    <w:qFormat/>
    <w:pPr>
      <w:keepNext w:val="true"/>
      <w:keepLines/>
      <w:numPr>
        <w:ilvl w:val="0"/>
        <w:numId w:val="0"/>
      </w:numPr>
      <w:spacing w:before="40" w:after="0"/>
      <w:ind w:left="100" w:right="0" w:hanging="0"/>
      <w:outlineLvl w:val="6"/>
    </w:pPr>
    <w:rPr>
      <w:rFonts w:eastAsia="新細明體" w:cs="Tahoma"/>
      <w:color w:val="595959"/>
    </w:rPr>
  </w:style>
  <w:style w:type="paragraph" w:styleId="8">
    <w:name w:val="Heading 8"/>
    <w:basedOn w:val="Normal"/>
    <w:next w:val="Normal"/>
    <w:link w:val="81"/>
    <w:qFormat/>
    <w:pPr>
      <w:keepNext w:val="true"/>
      <w:keepLines/>
      <w:numPr>
        <w:ilvl w:val="0"/>
        <w:numId w:val="0"/>
      </w:numPr>
      <w:spacing w:before="40" w:after="0"/>
      <w:ind w:left="200" w:right="0" w:hanging="0"/>
      <w:outlineLvl w:val="7"/>
    </w:pPr>
    <w:rPr>
      <w:rFonts w:eastAsia="新細明體" w:cs="Tahoma"/>
      <w:color w:val="272727"/>
    </w:rPr>
  </w:style>
  <w:style w:type="paragraph" w:styleId="9">
    <w:name w:val="Heading 9"/>
    <w:basedOn w:val="Normal"/>
    <w:next w:val="Normal"/>
    <w:link w:val="91"/>
    <w:qFormat/>
    <w:pPr>
      <w:keepNext w:val="true"/>
      <w:keepLines/>
      <w:numPr>
        <w:ilvl w:val="0"/>
        <w:numId w:val="0"/>
      </w:numPr>
      <w:spacing w:before="40" w:after="0"/>
      <w:ind w:left="300" w:right="0" w:hanging="0"/>
      <w:outlineLvl w:val="8"/>
    </w:pPr>
    <w:rPr>
      <w:rFonts w:eastAsia="新細明體" w:cs="Tahoma"/>
      <w:color w:val="272727"/>
    </w:rPr>
  </w:style>
  <w:style w:type="character" w:styleId="DefaultParagraphFontWW">
    <w:name w:val="Default Paragraph Font (WW)"/>
    <w:qFormat/>
    <w:rPr/>
  </w:style>
  <w:style w:type="character" w:styleId="11">
    <w:name w:val="標題 1 字元"/>
    <w:basedOn w:val="DefaultParagraphFontWW"/>
    <w:qFormat/>
    <w:rPr>
      <w:rFonts w:ascii="Calibri Light" w:hAnsi="Calibri Light" w:eastAsia="新細明體" w:cs="Tahoma"/>
      <w:color w:val="2F5496"/>
      <w:sz w:val="48"/>
      <w:szCs w:val="48"/>
    </w:rPr>
  </w:style>
  <w:style w:type="character" w:styleId="21">
    <w:name w:val="標題 2 字元"/>
    <w:basedOn w:val="DefaultParagraphFontWW"/>
    <w:qFormat/>
    <w:rPr>
      <w:rFonts w:ascii="Calibri Light" w:hAnsi="Calibri Light" w:eastAsia="新細明體" w:cs="Tahoma"/>
      <w:color w:val="2F5496"/>
      <w:sz w:val="40"/>
      <w:szCs w:val="40"/>
    </w:rPr>
  </w:style>
  <w:style w:type="character" w:styleId="31">
    <w:name w:val="標題 3 字元"/>
    <w:basedOn w:val="DefaultParagraphFontWW"/>
    <w:qFormat/>
    <w:rPr>
      <w:rFonts w:eastAsia="新細明體" w:cs="Tahoma"/>
      <w:color w:val="2F5496"/>
      <w:sz w:val="32"/>
      <w:szCs w:val="32"/>
    </w:rPr>
  </w:style>
  <w:style w:type="character" w:styleId="41">
    <w:name w:val="標題 4 字元"/>
    <w:basedOn w:val="DefaultParagraphFontWW"/>
    <w:qFormat/>
    <w:rPr>
      <w:rFonts w:eastAsia="新細明體" w:cs="Tahoma"/>
      <w:color w:val="2F5496"/>
      <w:sz w:val="28"/>
      <w:szCs w:val="28"/>
    </w:rPr>
  </w:style>
  <w:style w:type="character" w:styleId="51">
    <w:name w:val="標題 5 字元"/>
    <w:basedOn w:val="DefaultParagraphFontWW"/>
    <w:qFormat/>
    <w:rPr>
      <w:rFonts w:eastAsia="新細明體" w:cs="Tahoma"/>
      <w:color w:val="2F5496"/>
    </w:rPr>
  </w:style>
  <w:style w:type="character" w:styleId="61">
    <w:name w:val="標題 6 字元"/>
    <w:basedOn w:val="DefaultParagraphFontWW"/>
    <w:qFormat/>
    <w:rPr>
      <w:rFonts w:eastAsia="新細明體" w:cs="Tahoma"/>
      <w:color w:val="595959"/>
    </w:rPr>
  </w:style>
  <w:style w:type="character" w:styleId="71">
    <w:name w:val="標題 7 字元"/>
    <w:basedOn w:val="DefaultParagraphFontWW"/>
    <w:qFormat/>
    <w:rPr>
      <w:rFonts w:eastAsia="新細明體" w:cs="Tahoma"/>
      <w:color w:val="595959"/>
    </w:rPr>
  </w:style>
  <w:style w:type="character" w:styleId="81">
    <w:name w:val="標題 8 字元"/>
    <w:basedOn w:val="DefaultParagraphFontWW"/>
    <w:qFormat/>
    <w:rPr>
      <w:rFonts w:eastAsia="新細明體" w:cs="Tahoma"/>
      <w:color w:val="272727"/>
    </w:rPr>
  </w:style>
  <w:style w:type="character" w:styleId="91">
    <w:name w:val="標題 9 字元"/>
    <w:basedOn w:val="DefaultParagraphFontWW"/>
    <w:qFormat/>
    <w:rPr>
      <w:rFonts w:eastAsia="新細明體" w:cs="Tahoma"/>
      <w:color w:val="272727"/>
    </w:rPr>
  </w:style>
  <w:style w:type="character" w:styleId="Style5">
    <w:name w:val="標題 字元"/>
    <w:basedOn w:val="DefaultParagraphFontWW"/>
    <w:qFormat/>
    <w:rPr>
      <w:rFonts w:ascii="Calibri Light" w:hAnsi="Calibri Light" w:eastAsia="新細明體" w:cs="Tahoma"/>
      <w:spacing w:val="-10"/>
      <w:kern w:val="2"/>
      <w:sz w:val="56"/>
      <w:szCs w:val="56"/>
    </w:rPr>
  </w:style>
  <w:style w:type="character" w:styleId="Style6">
    <w:name w:val="副標題 字元"/>
    <w:basedOn w:val="DefaultParagraphFontWW"/>
    <w:qFormat/>
    <w:rPr>
      <w:rFonts w:ascii="Calibri Light" w:hAnsi="Calibri Light" w:eastAsia="新細明體" w:cs="Tahoma"/>
      <w:color w:val="595959"/>
      <w:spacing w:val="15"/>
      <w:sz w:val="28"/>
      <w:szCs w:val="28"/>
    </w:rPr>
  </w:style>
  <w:style w:type="character" w:styleId="Style7">
    <w:name w:val="引文 字元"/>
    <w:basedOn w:val="DefaultParagraphFontWW"/>
    <w:link w:val="Quote"/>
    <w:qFormat/>
    <w:rPr>
      <w:i/>
      <w:iCs/>
      <w:color w:val="404040"/>
    </w:rPr>
  </w:style>
  <w:style w:type="character" w:styleId="IntenseEmphasis">
    <w:name w:val="Intense Emphasis"/>
    <w:basedOn w:val="DefaultParagraphFontWW"/>
    <w:qFormat/>
    <w:rPr>
      <w:i/>
      <w:iCs/>
      <w:color w:val="2F5496"/>
    </w:rPr>
  </w:style>
  <w:style w:type="character" w:styleId="Style8">
    <w:name w:val="鮮明引文 字元"/>
    <w:basedOn w:val="DefaultParagraphFontWW"/>
    <w:link w:val="IntenseQuote"/>
    <w:qFormat/>
    <w:rPr>
      <w:i/>
      <w:iCs/>
      <w:color w:val="2F5496"/>
    </w:rPr>
  </w:style>
  <w:style w:type="character" w:styleId="IntenseReference">
    <w:name w:val="Intense Reference"/>
    <w:basedOn w:val="DefaultParagraphFontWW"/>
    <w:qFormat/>
    <w:rPr>
      <w:b/>
      <w:bCs/>
      <w:smallCaps/>
      <w:color w:val="2F5496"/>
      <w:spacing w:val="5"/>
    </w:rPr>
  </w:style>
  <w:style w:type="character" w:styleId="Style9">
    <w:name w:val="頁首 字元"/>
    <w:basedOn w:val="DefaultParagraphFontWW"/>
    <w:qFormat/>
    <w:rPr>
      <w:sz w:val="20"/>
      <w:szCs w:val="20"/>
    </w:rPr>
  </w:style>
  <w:style w:type="character" w:styleId="Style10">
    <w:name w:val="頁尾 字元"/>
    <w:basedOn w:val="DefaultParagraphFontWW"/>
    <w:qFormat/>
    <w:rPr>
      <w:sz w:val="20"/>
      <w:szCs w:val="20"/>
    </w:rPr>
  </w:style>
  <w:style w:type="character" w:styleId="Style11">
    <w:name w:val="網際網路連結"/>
    <w:basedOn w:val="DefaultParagraphFontWW"/>
    <w:rPr>
      <w:color w:val="0563C1"/>
      <w:u w:val="single"/>
    </w:rPr>
  </w:style>
  <w:style w:type="character" w:styleId="Style12">
    <w:name w:val="註解方塊文字 字元"/>
    <w:basedOn w:val="DefaultParagraphFontWW"/>
    <w:link w:val="BalloonText"/>
    <w:qFormat/>
    <w:rPr>
      <w:rFonts w:ascii="Calibri Light" w:hAnsi="Calibri Light" w:eastAsia="新細明體" w:cs="Tahoma"/>
      <w:sz w:val="18"/>
      <w:szCs w:val="18"/>
    </w:rPr>
  </w:style>
  <w:style w:type="paragraph" w:styleId="Style13">
    <w:name w:val="標題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思源黑體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Title"/>
    <w:basedOn w:val="Normal"/>
    <w:next w:val="Normal"/>
    <w:link w:val="Style5"/>
    <w:qFormat/>
    <w:pPr>
      <w:spacing w:lineRule="auto" w:line="240" w:before="0" w:after="80"/>
      <w:contextualSpacing/>
      <w:jc w:val="center"/>
    </w:pPr>
    <w:rPr>
      <w:rFonts w:ascii="Calibri Light" w:hAnsi="Calibri Light" w:eastAsia="新細明體" w:cs="Tahoma"/>
      <w:spacing w:val="-10"/>
      <w:kern w:val="2"/>
      <w:sz w:val="56"/>
      <w:szCs w:val="56"/>
    </w:rPr>
  </w:style>
  <w:style w:type="paragraph" w:styleId="Style19">
    <w:name w:val="Subtitle"/>
    <w:basedOn w:val="Normal"/>
    <w:next w:val="Normal"/>
    <w:link w:val="Style6"/>
    <w:qFormat/>
    <w:pPr>
      <w:jc w:val="center"/>
    </w:pPr>
    <w:rPr>
      <w:rFonts w:ascii="Calibri Light" w:hAnsi="Calibri Light" w:eastAsia="新細明體" w:cs="Tahoma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Style7"/>
    <w:qFormat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IntenseQuote">
    <w:name w:val="Intense Quote"/>
    <w:basedOn w:val="Normal"/>
    <w:next w:val="Normal"/>
    <w:link w:val="Style8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Style20">
    <w:name w:val="頁首與頁尾"/>
    <w:basedOn w:val="Normal"/>
    <w:qFormat/>
    <w:pPr/>
    <w:rPr/>
  </w:style>
  <w:style w:type="paragraph" w:styleId="Style21">
    <w:name w:val="Header"/>
    <w:basedOn w:val="Normal"/>
    <w:link w:val="Style9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link w:val="Style10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Style12"/>
    <w:qFormat/>
    <w:pPr>
      <w:spacing w:lineRule="auto" w:line="240" w:before="0" w:after="0"/>
    </w:pPr>
    <w:rPr>
      <w:rFonts w:ascii="Calibri Light" w:hAnsi="Calibri Light" w:eastAsia="新細明體" w:cs="Tahoma"/>
      <w:sz w:val="18"/>
      <w:szCs w:val="18"/>
    </w:rPr>
  </w:style>
  <w:style w:type="paragraph" w:styleId="Style23">
    <w:name w:val="表格內容"/>
    <w:basedOn w:val="Normal"/>
    <w:qFormat/>
    <w:pPr>
      <w:widowControl w:val="false"/>
      <w:suppressLineNumbers/>
    </w:pPr>
    <w:rPr/>
  </w:style>
  <w:style w:type="numbering" w:styleId="NoListWW">
    <w:name w:val="No List (WW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Application>LibreOffice/7.3.1.3$Windows_X86_64 LibreOffice_project/a69ca51ded25f3eefd52d7bf9a5fad8c90b87951</Application>
  <AppVersion>15.0000</AppVersion>
  <Pages>1</Pages>
  <Words>435</Words>
  <Characters>490</Characters>
  <CharactersWithSpaces>494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2025-06-30T03:59:00Z</dcterms:created>
  <dc:creator>建緯 吳</dc:creator>
  <dc:description/>
  <dc:language>zh-TW</dc:language>
  <cp:lastModifiedBy>社會處-身心障礙福利科</cp:lastModifiedBy>
  <cp:lastPrinted>2025-06-30T03:46:00Z</cp:lastPrinted>
  <dcterms:modified xsi:type="dcterms:W3CDTF">2025-07-01T02:46:00Z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